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DDAFE6">
      <w:pPr>
        <w:spacing w:line="720" w:lineRule="auto"/>
        <w:jc w:val="center"/>
        <w:outlineLvl w:val="0"/>
        <w:rPr>
          <w:rFonts w:ascii="宋体" w:hAnsi="宋体"/>
          <w:b/>
          <w:sz w:val="30"/>
          <w:szCs w:val="30"/>
        </w:rPr>
      </w:pPr>
      <w:r>
        <w:rPr>
          <w:rFonts w:hint="eastAsia" w:ascii="宋体" w:hAnsi="宋体"/>
          <w:b/>
          <w:sz w:val="30"/>
          <w:szCs w:val="30"/>
          <w:lang w:val="en-US" w:eastAsia="zh-CN"/>
        </w:rPr>
        <w:t>算力服务项目</w:t>
      </w:r>
      <w:r>
        <w:rPr>
          <w:rFonts w:hint="eastAsia" w:ascii="宋体" w:hAnsi="宋体"/>
          <w:b/>
          <w:sz w:val="30"/>
          <w:szCs w:val="30"/>
        </w:rPr>
        <w:t>需求</w:t>
      </w:r>
    </w:p>
    <w:p w14:paraId="138B964A">
      <w:pPr>
        <w:numPr>
          <w:ilvl w:val="0"/>
          <w:numId w:val="2"/>
        </w:numPr>
        <w:spacing w:line="480" w:lineRule="auto"/>
        <w:ind w:left="210"/>
        <w:outlineLvl w:val="0"/>
        <w:rPr>
          <w:rFonts w:hint="eastAsia" w:ascii="宋体" w:hAnsi="宋体" w:eastAsia="宋体" w:cs="宋体"/>
          <w:b/>
          <w:sz w:val="24"/>
          <w:szCs w:val="24"/>
        </w:rPr>
      </w:pPr>
      <w:r>
        <w:rPr>
          <w:rFonts w:hint="eastAsia" w:ascii="宋体" w:hAnsi="宋体" w:eastAsia="宋体" w:cs="宋体"/>
          <w:b/>
          <w:sz w:val="24"/>
          <w:szCs w:val="24"/>
        </w:rPr>
        <w:t>项目名称：</w:t>
      </w:r>
      <w:r>
        <w:rPr>
          <w:rFonts w:hint="eastAsia" w:ascii="宋体" w:hAnsi="宋体" w:eastAsia="宋体" w:cs="宋体"/>
          <w:b/>
          <w:sz w:val="24"/>
          <w:szCs w:val="24"/>
          <w:lang w:val="en-US" w:eastAsia="zh-CN"/>
        </w:rPr>
        <w:t>算力服务</w:t>
      </w:r>
    </w:p>
    <w:p w14:paraId="353772E1">
      <w:pPr>
        <w:numPr>
          <w:ilvl w:val="0"/>
          <w:numId w:val="2"/>
        </w:numPr>
        <w:spacing w:line="480" w:lineRule="auto"/>
        <w:ind w:left="210"/>
        <w:outlineLvl w:val="0"/>
        <w:rPr>
          <w:rFonts w:hint="eastAsia" w:ascii="宋体" w:hAnsi="宋体" w:eastAsia="宋体" w:cs="宋体"/>
          <w:b/>
          <w:sz w:val="24"/>
          <w:szCs w:val="24"/>
        </w:rPr>
      </w:pPr>
      <w:r>
        <w:rPr>
          <w:rFonts w:hint="eastAsia" w:ascii="宋体" w:hAnsi="宋体" w:eastAsia="宋体" w:cs="宋体"/>
          <w:b/>
          <w:sz w:val="24"/>
          <w:szCs w:val="24"/>
        </w:rPr>
        <w:t>项目预算：</w:t>
      </w:r>
      <w:r>
        <w:rPr>
          <w:rFonts w:hint="eastAsia" w:ascii="宋体" w:hAnsi="宋体" w:eastAsia="宋体" w:cs="宋体"/>
          <w:b/>
          <w:sz w:val="24"/>
          <w:szCs w:val="24"/>
          <w:lang w:val="en-US" w:eastAsia="zh-CN"/>
        </w:rPr>
        <w:t>220</w:t>
      </w:r>
      <w:r>
        <w:rPr>
          <w:rFonts w:hint="eastAsia" w:ascii="宋体" w:hAnsi="宋体" w:eastAsia="宋体" w:cs="宋体"/>
          <w:b/>
          <w:sz w:val="24"/>
          <w:szCs w:val="24"/>
        </w:rPr>
        <w:t>万元</w:t>
      </w:r>
      <w:r>
        <w:rPr>
          <w:rFonts w:hint="eastAsia" w:ascii="宋体" w:hAnsi="宋体" w:eastAsia="宋体" w:cs="宋体"/>
          <w:b/>
          <w:sz w:val="24"/>
          <w:szCs w:val="24"/>
          <w:lang w:val="en-US" w:eastAsia="zh-CN"/>
        </w:rPr>
        <w:t xml:space="preserve">  最高限价：150万元</w:t>
      </w:r>
    </w:p>
    <w:p w14:paraId="579C54D3">
      <w:pPr>
        <w:widowControl/>
        <w:numPr>
          <w:ilvl w:val="0"/>
          <w:numId w:val="2"/>
        </w:numPr>
        <w:spacing w:line="400" w:lineRule="exact"/>
        <w:ind w:left="210"/>
        <w:jc w:val="left"/>
        <w:rPr>
          <w:rFonts w:hint="eastAsia" w:ascii="宋体" w:hAnsi="宋体" w:eastAsia="宋体" w:cs="宋体"/>
          <w:b/>
          <w:bCs/>
          <w:kern w:val="0"/>
          <w:sz w:val="24"/>
          <w:szCs w:val="24"/>
          <w:highlight w:val="none"/>
          <w:lang w:bidi="ar"/>
        </w:rPr>
      </w:pPr>
      <w:r>
        <w:rPr>
          <w:rFonts w:hint="eastAsia" w:ascii="宋体" w:hAnsi="宋体" w:eastAsia="宋体" w:cs="宋体"/>
          <w:b/>
          <w:bCs/>
          <w:kern w:val="0"/>
          <w:sz w:val="24"/>
          <w:szCs w:val="24"/>
          <w:highlight w:val="none"/>
          <w:lang w:val="en-US" w:eastAsia="zh-CN" w:bidi="ar"/>
        </w:rPr>
        <w:t>采购需求</w:t>
      </w:r>
      <w:r>
        <w:rPr>
          <w:rFonts w:hint="eastAsia" w:ascii="宋体" w:hAnsi="宋体" w:eastAsia="宋体" w:cs="宋体"/>
          <w:b/>
          <w:bCs/>
          <w:kern w:val="0"/>
          <w:sz w:val="24"/>
          <w:szCs w:val="24"/>
          <w:highlight w:val="none"/>
          <w:lang w:bidi="ar"/>
        </w:rPr>
        <w:t>：</w:t>
      </w:r>
    </w:p>
    <w:p w14:paraId="2BF60ED2">
      <w:pPr>
        <w:pStyle w:val="11"/>
        <w:keepNext w:val="0"/>
        <w:keepLines w:val="0"/>
        <w:pageBreakBefore w:val="0"/>
        <w:widowControl w:val="0"/>
        <w:kinsoku/>
        <w:wordWrap/>
        <w:overflowPunct/>
        <w:topLinePunct w:val="0"/>
        <w:autoSpaceDE/>
        <w:autoSpaceDN/>
        <w:bidi w:val="0"/>
        <w:adjustRightInd/>
        <w:snapToGrid/>
        <w:spacing w:before="79" w:beforeLines="25" w:line="240" w:lineRule="auto"/>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（一）服务内容</w:t>
      </w:r>
    </w:p>
    <w:p w14:paraId="29C2D7F4">
      <w:pPr>
        <w:pStyle w:val="10"/>
        <w:spacing w:line="24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1、向采购人租赁AI算力服务（包括算力服务和专线网络资源）。</w:t>
      </w:r>
    </w:p>
    <w:p w14:paraId="7484DF74">
      <w:pPr>
        <w:pStyle w:val="10"/>
        <w:keepNext w:val="0"/>
        <w:keepLines w:val="0"/>
        <w:pageBreakBefore w:val="0"/>
        <w:widowControl w:val="0"/>
        <w:kinsoku/>
        <w:wordWrap/>
        <w:overflowPunct/>
        <w:topLinePunct w:val="0"/>
        <w:autoSpaceDE/>
        <w:autoSpaceDN/>
        <w:bidi w:val="0"/>
        <w:adjustRightInd/>
        <w:snapToGrid/>
        <w:spacing w:before="79" w:beforeLines="25" w:line="240" w:lineRule="auto"/>
        <w:textAlignment w:val="auto"/>
        <w:rPr>
          <w:rFonts w:hint="eastAsia" w:ascii="宋体" w:hAnsi="宋体" w:eastAsia="宋体" w:cs="宋体"/>
          <w:b/>
          <w:bCs/>
          <w:sz w:val="24"/>
          <w:szCs w:val="24"/>
          <w:lang w:val="en-US" w:eastAsia="zh-CN"/>
        </w:rPr>
      </w:pPr>
      <w:bookmarkStart w:id="0" w:name="OLE_LINK1"/>
      <w:r>
        <w:rPr>
          <w:rFonts w:hint="eastAsia" w:ascii="宋体" w:hAnsi="宋体" w:eastAsia="宋体" w:cs="宋体"/>
          <w:b/>
          <w:bCs/>
          <w:sz w:val="24"/>
          <w:szCs w:val="24"/>
          <w:lang w:val="en-US" w:eastAsia="zh-CN"/>
        </w:rPr>
        <w:t>（二）</w:t>
      </w:r>
      <w:bookmarkEnd w:id="0"/>
      <w:r>
        <w:rPr>
          <w:rFonts w:hint="eastAsia" w:ascii="宋体" w:hAnsi="宋体" w:eastAsia="宋体" w:cs="宋体"/>
          <w:b/>
          <w:bCs/>
          <w:sz w:val="24"/>
          <w:szCs w:val="24"/>
          <w:lang w:val="en-US" w:eastAsia="zh-CN"/>
        </w:rPr>
        <w:t>租赁清单</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2"/>
        <w:gridCol w:w="2668"/>
        <w:gridCol w:w="1929"/>
        <w:gridCol w:w="2079"/>
        <w:gridCol w:w="1031"/>
      </w:tblGrid>
      <w:tr w14:paraId="3E638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2" w:type="dxa"/>
            <w:noWrap w:val="0"/>
            <w:vAlign w:val="center"/>
          </w:tcPr>
          <w:p w14:paraId="61C74391">
            <w:pPr>
              <w:widowControl/>
              <w:spacing w:line="240" w:lineRule="auto"/>
              <w:ind w:firstLine="0" w:firstLineChars="0"/>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序号</w:t>
            </w:r>
          </w:p>
        </w:tc>
        <w:tc>
          <w:tcPr>
            <w:tcW w:w="2668" w:type="dxa"/>
            <w:noWrap w:val="0"/>
            <w:vAlign w:val="center"/>
          </w:tcPr>
          <w:p w14:paraId="1B8618DA">
            <w:pPr>
              <w:widowControl/>
              <w:spacing w:line="240" w:lineRule="auto"/>
              <w:ind w:firstLine="0" w:firstLineChars="0"/>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资源</w:t>
            </w:r>
            <w:r>
              <w:rPr>
                <w:rFonts w:hint="eastAsia" w:ascii="宋体" w:hAnsi="宋体" w:eastAsia="宋体" w:cs="宋体"/>
                <w:b/>
                <w:bCs/>
                <w:color w:val="000000"/>
                <w:sz w:val="24"/>
                <w:szCs w:val="24"/>
              </w:rPr>
              <w:t>名称</w:t>
            </w:r>
          </w:p>
        </w:tc>
        <w:tc>
          <w:tcPr>
            <w:tcW w:w="1929" w:type="dxa"/>
            <w:noWrap w:val="0"/>
            <w:vAlign w:val="center"/>
          </w:tcPr>
          <w:p w14:paraId="7C42F46C">
            <w:pPr>
              <w:widowControl/>
              <w:spacing w:line="240" w:lineRule="auto"/>
              <w:ind w:firstLine="0" w:firstLineChars="0"/>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数量</w:t>
            </w:r>
          </w:p>
        </w:tc>
        <w:tc>
          <w:tcPr>
            <w:tcW w:w="2079" w:type="dxa"/>
            <w:noWrap w:val="0"/>
            <w:vAlign w:val="center"/>
          </w:tcPr>
          <w:p w14:paraId="4E32B11E">
            <w:pPr>
              <w:widowControl/>
              <w:spacing w:line="240" w:lineRule="auto"/>
              <w:ind w:firstLine="0" w:firstLineChars="0"/>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单位</w:t>
            </w:r>
          </w:p>
        </w:tc>
        <w:tc>
          <w:tcPr>
            <w:tcW w:w="1031" w:type="dxa"/>
            <w:noWrap w:val="0"/>
            <w:vAlign w:val="center"/>
          </w:tcPr>
          <w:p w14:paraId="1A794BDB">
            <w:pPr>
              <w:widowControl/>
              <w:spacing w:line="240" w:lineRule="auto"/>
              <w:ind w:firstLine="0" w:firstLineChars="0"/>
              <w:jc w:val="cente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备注</w:t>
            </w:r>
          </w:p>
        </w:tc>
      </w:tr>
      <w:tr w14:paraId="738BE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49" w:type="dxa"/>
            <w:gridSpan w:val="5"/>
            <w:noWrap w:val="0"/>
            <w:vAlign w:val="center"/>
          </w:tcPr>
          <w:p w14:paraId="008FA29E">
            <w:pPr>
              <w:widowControl/>
              <w:spacing w:line="240" w:lineRule="auto"/>
              <w:ind w:firstLine="0" w:firstLineChars="0"/>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算力及网络服务</w:t>
            </w:r>
          </w:p>
        </w:tc>
      </w:tr>
      <w:tr w14:paraId="1BB1D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42" w:type="dxa"/>
            <w:noWrap w:val="0"/>
            <w:vAlign w:val="center"/>
          </w:tcPr>
          <w:p w14:paraId="7DCF94BB">
            <w:pPr>
              <w:widowControl/>
              <w:spacing w:line="240" w:lineRule="auto"/>
              <w:ind w:firstLine="0" w:firstLineChars="0"/>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2668" w:type="dxa"/>
            <w:noWrap w:val="0"/>
            <w:vAlign w:val="center"/>
          </w:tcPr>
          <w:p w14:paraId="1FE4CE57">
            <w:pPr>
              <w:widowControl/>
              <w:spacing w:line="240" w:lineRule="auto"/>
              <w:ind w:firstLine="0" w:firstLineChars="0"/>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智算裸金属服务（含云专线服务）</w:t>
            </w:r>
          </w:p>
        </w:tc>
        <w:tc>
          <w:tcPr>
            <w:tcW w:w="1929" w:type="dxa"/>
            <w:noWrap w:val="0"/>
            <w:vAlign w:val="center"/>
          </w:tcPr>
          <w:p w14:paraId="18432D06">
            <w:pPr>
              <w:widowControl/>
              <w:spacing w:line="240" w:lineRule="auto"/>
              <w:ind w:firstLine="0" w:firstLineChars="0"/>
              <w:jc w:val="center"/>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w:t>
            </w:r>
          </w:p>
        </w:tc>
        <w:tc>
          <w:tcPr>
            <w:tcW w:w="2079" w:type="dxa"/>
            <w:noWrap w:val="0"/>
            <w:vAlign w:val="center"/>
          </w:tcPr>
          <w:p w14:paraId="2ECF5E57">
            <w:pPr>
              <w:widowControl/>
              <w:spacing w:line="240" w:lineRule="auto"/>
              <w:ind w:firstLine="0" w:firstLineChars="0"/>
              <w:jc w:val="center"/>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项</w:t>
            </w:r>
          </w:p>
        </w:tc>
        <w:tc>
          <w:tcPr>
            <w:tcW w:w="1031" w:type="dxa"/>
            <w:noWrap w:val="0"/>
            <w:vAlign w:val="center"/>
          </w:tcPr>
          <w:p w14:paraId="6D984BC3">
            <w:pPr>
              <w:widowControl/>
              <w:spacing w:line="240" w:lineRule="auto"/>
              <w:ind w:firstLine="0" w:firstLineChars="0"/>
              <w:jc w:val="both"/>
              <w:rPr>
                <w:rFonts w:hint="eastAsia" w:ascii="宋体" w:hAnsi="宋体" w:eastAsia="宋体" w:cs="宋体"/>
                <w:color w:val="000000"/>
                <w:sz w:val="24"/>
                <w:szCs w:val="24"/>
                <w:lang w:val="en-US" w:eastAsia="zh-CN"/>
              </w:rPr>
            </w:pPr>
          </w:p>
        </w:tc>
      </w:tr>
    </w:tbl>
    <w:p w14:paraId="263B8AD9">
      <w:pPr>
        <w:widowControl/>
        <w:numPr>
          <w:ilvl w:val="0"/>
          <w:numId w:val="2"/>
        </w:numPr>
        <w:spacing w:line="400" w:lineRule="exact"/>
        <w:ind w:left="210"/>
        <w:jc w:val="left"/>
        <w:rPr>
          <w:rFonts w:hint="eastAsia" w:ascii="宋体" w:hAnsi="宋体" w:eastAsia="宋体" w:cs="宋体"/>
          <w:b/>
          <w:bCs/>
          <w:kern w:val="0"/>
          <w:sz w:val="24"/>
          <w:szCs w:val="24"/>
          <w:highlight w:val="none"/>
          <w:lang w:bidi="ar"/>
        </w:rPr>
      </w:pPr>
      <w:r>
        <w:rPr>
          <w:rFonts w:hint="eastAsia" w:ascii="宋体" w:hAnsi="宋体" w:eastAsia="宋体" w:cs="宋体"/>
          <w:b/>
          <w:bCs/>
          <w:kern w:val="0"/>
          <w:sz w:val="24"/>
          <w:szCs w:val="24"/>
          <w:highlight w:val="none"/>
          <w:lang w:val="en-US" w:eastAsia="zh-CN" w:bidi="ar"/>
        </w:rPr>
        <w:t>商务要求</w:t>
      </w:r>
      <w:r>
        <w:rPr>
          <w:rFonts w:hint="eastAsia" w:ascii="宋体" w:hAnsi="宋体" w:eastAsia="宋体" w:cs="宋体"/>
          <w:b/>
          <w:bCs/>
          <w:kern w:val="0"/>
          <w:sz w:val="24"/>
          <w:szCs w:val="24"/>
          <w:highlight w:val="none"/>
          <w:lang w:bidi="ar"/>
        </w:rPr>
        <w:t>：</w:t>
      </w:r>
    </w:p>
    <w:p w14:paraId="613823D8">
      <w:pPr>
        <w:pStyle w:val="2"/>
        <w:ind w:firstLine="0" w:firstLineChars="0"/>
        <w:rPr>
          <w:rFonts w:hint="eastAsia" w:ascii="宋体" w:hAnsi="宋体" w:eastAsia="宋体" w:cs="宋体"/>
          <w:sz w:val="24"/>
          <w:szCs w:val="24"/>
          <w:lang w:val="en-US" w:eastAsia="zh-CN"/>
        </w:rPr>
      </w:pPr>
      <w:r>
        <w:rPr>
          <w:rFonts w:hint="eastAsia" w:ascii="宋体" w:hAnsi="宋体" w:eastAsia="宋体" w:cs="宋体"/>
          <w:b/>
          <w:bCs/>
          <w:kern w:val="0"/>
          <w:sz w:val="24"/>
          <w:szCs w:val="24"/>
          <w:highlight w:val="none"/>
          <w:lang w:eastAsia="zh-CN" w:bidi="ar"/>
        </w:rPr>
        <w:t>（</w:t>
      </w:r>
      <w:r>
        <w:rPr>
          <w:rFonts w:hint="eastAsia" w:ascii="宋体" w:hAnsi="宋体" w:eastAsia="宋体" w:cs="宋体"/>
          <w:b/>
          <w:bCs/>
          <w:kern w:val="0"/>
          <w:sz w:val="24"/>
          <w:szCs w:val="24"/>
          <w:highlight w:val="none"/>
          <w:lang w:val="en-US" w:eastAsia="zh-CN" w:bidi="ar"/>
        </w:rPr>
        <w:t>一</w:t>
      </w:r>
      <w:r>
        <w:rPr>
          <w:rFonts w:hint="eastAsia" w:ascii="宋体" w:hAnsi="宋体" w:eastAsia="宋体" w:cs="宋体"/>
          <w:b/>
          <w:bCs/>
          <w:kern w:val="0"/>
          <w:sz w:val="24"/>
          <w:szCs w:val="24"/>
          <w:highlight w:val="none"/>
          <w:lang w:eastAsia="zh-CN" w:bidi="ar"/>
        </w:rPr>
        <w:t>）</w:t>
      </w:r>
      <w:r>
        <w:rPr>
          <w:rFonts w:hint="eastAsia" w:ascii="宋体" w:hAnsi="宋体" w:eastAsia="宋体" w:cs="宋体"/>
          <w:b/>
          <w:bCs/>
          <w:kern w:val="0"/>
          <w:sz w:val="24"/>
          <w:szCs w:val="24"/>
          <w:highlight w:val="none"/>
          <w:lang w:val="en-US" w:eastAsia="zh-CN" w:bidi="ar"/>
        </w:rPr>
        <w:t>主要商务要求</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5"/>
        <w:gridCol w:w="6227"/>
      </w:tblGrid>
      <w:tr w14:paraId="52CAF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95" w:type="dxa"/>
            <w:noWrap w:val="0"/>
            <w:vAlign w:val="center"/>
          </w:tcPr>
          <w:p w14:paraId="7DFE6563">
            <w:pPr>
              <w:pStyle w:val="2"/>
              <w:ind w:firstLine="0" w:firstLineChars="0"/>
              <w:jc w:val="left"/>
              <w:rPr>
                <w:rFonts w:hint="eastAsia" w:ascii="宋体" w:hAnsi="宋体" w:eastAsia="宋体" w:cs="宋体"/>
                <w:b w:val="0"/>
                <w:bCs w:val="0"/>
                <w:color w:val="000000"/>
                <w:kern w:val="0"/>
                <w:sz w:val="24"/>
                <w:szCs w:val="24"/>
                <w:highlight w:val="none"/>
                <w:vertAlign w:val="baseline"/>
                <w:lang w:val="en-US" w:eastAsia="zh-CN" w:bidi="ar"/>
              </w:rPr>
            </w:pPr>
            <w:r>
              <w:rPr>
                <w:rFonts w:hint="eastAsia" w:ascii="宋体" w:hAnsi="宋体" w:eastAsia="宋体" w:cs="宋体"/>
                <w:sz w:val="24"/>
                <w:szCs w:val="24"/>
              </w:rPr>
              <w:t>★</w:t>
            </w:r>
            <w:r>
              <w:rPr>
                <w:rFonts w:hint="eastAsia" w:ascii="宋体" w:hAnsi="宋体" w:eastAsia="宋体" w:cs="宋体"/>
                <w:b w:val="0"/>
                <w:bCs w:val="0"/>
                <w:color w:val="000000"/>
                <w:kern w:val="0"/>
                <w:sz w:val="24"/>
                <w:szCs w:val="24"/>
                <w:highlight w:val="none"/>
                <w:vertAlign w:val="baseline"/>
                <w:lang w:val="en-US" w:eastAsia="zh-CN" w:bidi="ar"/>
              </w:rPr>
              <w:t>报价要求</w:t>
            </w:r>
          </w:p>
        </w:tc>
        <w:tc>
          <w:tcPr>
            <w:tcW w:w="6227" w:type="dxa"/>
            <w:noWrap w:val="0"/>
            <w:vAlign w:val="center"/>
          </w:tcPr>
          <w:p w14:paraId="63C76C04">
            <w:pPr>
              <w:pStyle w:val="2"/>
              <w:numPr>
                <w:ilvl w:val="0"/>
                <w:numId w:val="0"/>
              </w:numPr>
              <w:ind w:firstLine="0" w:firstLineChars="0"/>
              <w:jc w:val="left"/>
              <w:rPr>
                <w:rFonts w:hint="eastAsia" w:ascii="宋体" w:hAnsi="宋体" w:eastAsia="宋体" w:cs="宋体"/>
                <w:i w:val="0"/>
                <w:iCs w:val="0"/>
                <w:color w:val="FF0000"/>
                <w:kern w:val="0"/>
                <w:sz w:val="24"/>
                <w:szCs w:val="24"/>
                <w:u w:val="none"/>
                <w:lang w:val="en-US" w:eastAsia="zh-CN" w:bidi="ar"/>
              </w:rPr>
            </w:pPr>
            <w:r>
              <w:rPr>
                <w:rFonts w:hint="eastAsia" w:ascii="宋体" w:hAnsi="宋体" w:eastAsia="宋体" w:cs="宋体"/>
                <w:color w:val="FF0000"/>
                <w:sz w:val="24"/>
                <w:szCs w:val="24"/>
                <w:lang w:val="en-US" w:eastAsia="zh-CN"/>
              </w:rPr>
              <w:t>报价要求：单价报价，初步预算为20800元/月/</w:t>
            </w:r>
            <w:r>
              <w:rPr>
                <w:rFonts w:hint="eastAsia" w:ascii="宋体" w:hAnsi="宋体" w:eastAsia="宋体" w:cs="宋体"/>
                <w:i w:val="0"/>
                <w:iCs w:val="0"/>
                <w:color w:val="FF0000"/>
                <w:kern w:val="0"/>
                <w:sz w:val="24"/>
                <w:szCs w:val="24"/>
                <w:u w:val="none"/>
                <w:lang w:val="en-US" w:eastAsia="zh-CN" w:bidi="ar"/>
              </w:rPr>
              <w:t>单元。</w:t>
            </w:r>
          </w:p>
          <w:p w14:paraId="1352C1B8">
            <w:pPr>
              <w:pStyle w:val="2"/>
              <w:numPr>
                <w:ilvl w:val="0"/>
                <w:numId w:val="0"/>
              </w:numPr>
              <w:ind w:firstLine="0" w:firstLineChars="0"/>
              <w:jc w:val="left"/>
              <w:rPr>
                <w:rFonts w:hint="default" w:ascii="宋体" w:hAnsi="宋体" w:eastAsia="宋体" w:cs="宋体"/>
                <w:i w:val="0"/>
                <w:iCs w:val="0"/>
                <w:color w:val="FF0000"/>
                <w:kern w:val="0"/>
                <w:sz w:val="24"/>
                <w:szCs w:val="24"/>
                <w:u w:val="none"/>
                <w:lang w:val="en-US" w:eastAsia="zh-CN" w:bidi="ar"/>
              </w:rPr>
            </w:pPr>
            <w:r>
              <w:rPr>
                <w:rFonts w:hint="eastAsia" w:ascii="宋体" w:hAnsi="宋体" w:eastAsia="宋体" w:cs="宋体"/>
                <w:i w:val="0"/>
                <w:iCs w:val="0"/>
                <w:color w:val="FF0000"/>
                <w:kern w:val="0"/>
                <w:sz w:val="24"/>
                <w:szCs w:val="24"/>
                <w:u w:val="none"/>
                <w:lang w:val="en-US" w:eastAsia="zh-CN" w:bidi="ar"/>
              </w:rPr>
              <w:t>单元定义为：</w:t>
            </w:r>
            <w:r>
              <w:rPr>
                <w:rFonts w:hint="eastAsia" w:ascii="宋体" w:hAnsi="宋体" w:eastAsia="宋体" w:cs="宋体"/>
                <w:color w:val="FF0000"/>
                <w:sz w:val="24"/>
                <w:szCs w:val="24"/>
                <w:lang w:val="en-US" w:eastAsia="zh-CN"/>
              </w:rPr>
              <w:t>按</w:t>
            </w:r>
            <w:r>
              <w:rPr>
                <w:rFonts w:hint="eastAsia" w:ascii="宋体" w:hAnsi="宋体" w:eastAsia="宋体" w:cs="宋体"/>
                <w:i w:val="0"/>
                <w:iCs w:val="0"/>
                <w:color w:val="FF0000"/>
                <w:kern w:val="0"/>
                <w:sz w:val="24"/>
                <w:szCs w:val="24"/>
                <w:u w:val="none"/>
                <w:lang w:val="en-US" w:eastAsia="zh-CN" w:bidi="ar"/>
              </w:rPr>
              <w:t>单台服务器配置4张推理卡（NPU卡）进行租赁。（例：1个单元为配置4张推理卡；2个单元为配置8张推理卡；）</w:t>
            </w:r>
          </w:p>
        </w:tc>
      </w:tr>
      <w:tr w14:paraId="032E2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5" w:type="dxa"/>
            <w:noWrap w:val="0"/>
            <w:vAlign w:val="center"/>
          </w:tcPr>
          <w:p w14:paraId="28D32E8C">
            <w:pPr>
              <w:pStyle w:val="2"/>
              <w:ind w:firstLine="0" w:firstLineChars="0"/>
              <w:jc w:val="left"/>
              <w:rPr>
                <w:rFonts w:hint="eastAsia" w:ascii="宋体" w:hAnsi="宋体" w:eastAsia="宋体" w:cs="宋体"/>
                <w:b w:val="0"/>
                <w:bCs w:val="0"/>
                <w:kern w:val="0"/>
                <w:sz w:val="24"/>
                <w:szCs w:val="24"/>
                <w:highlight w:val="none"/>
                <w:vertAlign w:val="baseline"/>
                <w:lang w:val="en-US" w:eastAsia="zh-CN" w:bidi="ar"/>
              </w:rPr>
            </w:pPr>
            <w:r>
              <w:rPr>
                <w:rFonts w:hint="eastAsia" w:ascii="宋体" w:hAnsi="宋体" w:eastAsia="宋体" w:cs="宋体"/>
                <w:b w:val="0"/>
                <w:bCs w:val="0"/>
                <w:kern w:val="0"/>
                <w:sz w:val="24"/>
                <w:szCs w:val="24"/>
                <w:highlight w:val="none"/>
                <w:vertAlign w:val="baseline"/>
                <w:lang w:val="en-US" w:eastAsia="zh-CN" w:bidi="ar"/>
              </w:rPr>
              <w:t>服务期限</w:t>
            </w:r>
          </w:p>
        </w:tc>
        <w:tc>
          <w:tcPr>
            <w:tcW w:w="6227" w:type="dxa"/>
            <w:noWrap w:val="0"/>
            <w:vAlign w:val="center"/>
          </w:tcPr>
          <w:p w14:paraId="1EE819FF">
            <w:pPr>
              <w:spacing w:line="500" w:lineRule="exac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合同履约期限：</w:t>
            </w:r>
            <w:r>
              <w:rPr>
                <w:rFonts w:hint="eastAsia" w:ascii="宋体" w:hAnsi="宋体" w:eastAsia="宋体" w:cs="宋体"/>
                <w:color w:val="FF0000"/>
                <w:sz w:val="24"/>
                <w:szCs w:val="24"/>
                <w:lang w:val="en-US" w:eastAsia="zh-CN"/>
              </w:rPr>
              <w:t>合同签订后，完成</w:t>
            </w:r>
            <w:r>
              <w:rPr>
                <w:rFonts w:hint="eastAsia" w:ascii="宋体" w:hAnsi="宋体" w:eastAsia="宋体" w:cs="宋体"/>
                <w:color w:val="FF0000"/>
                <w:sz w:val="24"/>
                <w:szCs w:val="24"/>
              </w:rPr>
              <w:t>安装调试</w:t>
            </w:r>
            <w:r>
              <w:rPr>
                <w:rFonts w:hint="eastAsia" w:ascii="宋体" w:hAnsi="宋体" w:eastAsia="宋体" w:cs="宋体"/>
                <w:color w:val="FF0000"/>
                <w:sz w:val="24"/>
                <w:szCs w:val="24"/>
                <w:lang w:val="en-US" w:eastAsia="zh-CN"/>
              </w:rPr>
              <w:t>并交付使用，初验合格之日起3年 或 项目按实结算金额达到人民币150万元，以先到为准。</w:t>
            </w:r>
            <w:r>
              <w:rPr>
                <w:rFonts w:hint="eastAsia" w:ascii="宋体" w:hAnsi="宋体" w:eastAsia="宋体" w:cs="宋体"/>
                <w:color w:val="FF0000"/>
                <w:sz w:val="24"/>
                <w:szCs w:val="24"/>
              </w:rPr>
              <w:t>技术参数中有特殊要求的，以特殊要求为准</w:t>
            </w:r>
            <w:r>
              <w:rPr>
                <w:rFonts w:hint="eastAsia" w:ascii="宋体" w:hAnsi="宋体" w:eastAsia="宋体" w:cs="宋体"/>
                <w:color w:val="FF0000"/>
                <w:sz w:val="24"/>
                <w:szCs w:val="24"/>
                <w:lang w:eastAsia="zh-CN"/>
              </w:rPr>
              <w:t>。</w:t>
            </w:r>
          </w:p>
        </w:tc>
      </w:tr>
      <w:tr w14:paraId="1F3A9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5" w:type="dxa"/>
            <w:noWrap w:val="0"/>
            <w:vAlign w:val="center"/>
          </w:tcPr>
          <w:p w14:paraId="0BE080EF">
            <w:pPr>
              <w:pStyle w:val="2"/>
              <w:ind w:firstLine="0" w:firstLineChars="0"/>
              <w:jc w:val="left"/>
              <w:rPr>
                <w:rFonts w:hint="eastAsia" w:ascii="宋体" w:hAnsi="宋体" w:eastAsia="宋体" w:cs="宋体"/>
                <w:b w:val="0"/>
                <w:bCs w:val="0"/>
                <w:kern w:val="0"/>
                <w:sz w:val="24"/>
                <w:szCs w:val="24"/>
                <w:highlight w:val="none"/>
                <w:vertAlign w:val="baseline"/>
                <w:lang w:val="en-US" w:eastAsia="zh-CN" w:bidi="ar"/>
              </w:rPr>
            </w:pPr>
            <w:r>
              <w:rPr>
                <w:rFonts w:hint="eastAsia" w:ascii="宋体" w:hAnsi="宋体" w:eastAsia="宋体" w:cs="宋体"/>
                <w:b w:val="0"/>
                <w:bCs w:val="0"/>
                <w:kern w:val="0"/>
                <w:sz w:val="24"/>
                <w:szCs w:val="24"/>
                <w:highlight w:val="none"/>
                <w:vertAlign w:val="baseline"/>
                <w:lang w:val="en-US" w:eastAsia="zh-CN" w:bidi="ar"/>
              </w:rPr>
              <w:t>项目实施地点</w:t>
            </w:r>
          </w:p>
        </w:tc>
        <w:tc>
          <w:tcPr>
            <w:tcW w:w="6227" w:type="dxa"/>
            <w:noWrap w:val="0"/>
            <w:vAlign w:val="center"/>
          </w:tcPr>
          <w:p w14:paraId="4D72FC50">
            <w:pPr>
              <w:pStyle w:val="2"/>
              <w:ind w:firstLine="0" w:firstLineChars="0"/>
              <w:jc w:val="left"/>
              <w:rPr>
                <w:rFonts w:hint="eastAsia" w:ascii="宋体" w:hAnsi="宋体" w:eastAsia="宋体" w:cs="宋体"/>
                <w:b w:val="0"/>
                <w:bCs w:val="0"/>
                <w:kern w:val="0"/>
                <w:sz w:val="24"/>
                <w:szCs w:val="24"/>
                <w:highlight w:val="none"/>
                <w:vertAlign w:val="baseline"/>
                <w:lang w:bidi="ar"/>
              </w:rPr>
            </w:pPr>
            <w:r>
              <w:rPr>
                <w:rFonts w:hint="eastAsia" w:ascii="宋体" w:hAnsi="宋体" w:eastAsia="宋体" w:cs="宋体"/>
                <w:b w:val="0"/>
                <w:bCs w:val="0"/>
                <w:kern w:val="0"/>
                <w:sz w:val="24"/>
                <w:szCs w:val="24"/>
                <w:highlight w:val="none"/>
                <w:vertAlign w:val="baseline"/>
                <w:lang w:val="en-US" w:eastAsia="zh-CN" w:bidi="ar"/>
              </w:rPr>
              <w:t>项目实施地点：</w:t>
            </w:r>
            <w:r>
              <w:rPr>
                <w:rFonts w:hint="eastAsia" w:ascii="宋体" w:hAnsi="宋体" w:eastAsia="宋体" w:cs="宋体"/>
                <w:color w:val="000000"/>
                <w:sz w:val="24"/>
                <w:szCs w:val="24"/>
              </w:rPr>
              <w:t>采购人指定地点。</w:t>
            </w:r>
          </w:p>
        </w:tc>
      </w:tr>
      <w:tr w14:paraId="58E51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5" w:type="dxa"/>
            <w:noWrap w:val="0"/>
            <w:vAlign w:val="center"/>
          </w:tcPr>
          <w:p w14:paraId="25A4A44B">
            <w:pPr>
              <w:pStyle w:val="2"/>
              <w:ind w:firstLine="0" w:firstLineChars="0"/>
              <w:jc w:val="left"/>
              <w:rPr>
                <w:rFonts w:hint="eastAsia" w:ascii="宋体" w:hAnsi="宋体" w:eastAsia="宋体" w:cs="宋体"/>
                <w:b w:val="0"/>
                <w:bCs w:val="0"/>
                <w:kern w:val="0"/>
                <w:sz w:val="24"/>
                <w:szCs w:val="24"/>
                <w:highlight w:val="none"/>
                <w:vertAlign w:val="baseline"/>
                <w:lang w:val="en-US" w:eastAsia="zh-CN" w:bidi="ar"/>
              </w:rPr>
            </w:pPr>
            <w:r>
              <w:rPr>
                <w:rFonts w:hint="eastAsia" w:ascii="宋体" w:hAnsi="宋体" w:eastAsia="宋体" w:cs="宋体"/>
                <w:b w:val="0"/>
                <w:bCs w:val="0"/>
                <w:kern w:val="0"/>
                <w:sz w:val="24"/>
                <w:szCs w:val="24"/>
                <w:highlight w:val="none"/>
                <w:vertAlign w:val="baseline"/>
                <w:lang w:val="en-US" w:eastAsia="zh-CN" w:bidi="ar"/>
              </w:rPr>
              <w:t>租赁模式</w:t>
            </w:r>
          </w:p>
        </w:tc>
        <w:tc>
          <w:tcPr>
            <w:tcW w:w="6227" w:type="dxa"/>
            <w:noWrap w:val="0"/>
            <w:vAlign w:val="center"/>
          </w:tcPr>
          <w:p w14:paraId="1ED4A576">
            <w:pPr>
              <w:pStyle w:val="2"/>
              <w:ind w:firstLine="0" w:firstLineChars="0"/>
              <w:jc w:val="left"/>
              <w:rPr>
                <w:rFonts w:hint="eastAsia" w:ascii="宋体" w:hAnsi="宋体" w:eastAsia="宋体" w:cs="宋体"/>
                <w:b w:val="0"/>
                <w:bCs w:val="0"/>
                <w:kern w:val="0"/>
                <w:sz w:val="24"/>
                <w:szCs w:val="24"/>
                <w:highlight w:val="none"/>
                <w:vertAlign w:val="baseline"/>
                <w:lang w:val="en-US" w:eastAsia="zh-CN" w:bidi="ar"/>
              </w:rPr>
            </w:pPr>
            <w:r>
              <w:rPr>
                <w:rFonts w:hint="eastAsia" w:ascii="宋体" w:hAnsi="宋体" w:eastAsia="宋体" w:cs="宋体"/>
                <w:color w:val="000000"/>
                <w:sz w:val="24"/>
                <w:szCs w:val="24"/>
                <w:lang w:val="en-US" w:eastAsia="zh-CN"/>
              </w:rPr>
              <w:t>按</w:t>
            </w:r>
            <w:r>
              <w:rPr>
                <w:rFonts w:hint="eastAsia" w:ascii="宋体" w:hAnsi="宋体" w:eastAsia="宋体" w:cs="宋体"/>
                <w:i w:val="0"/>
                <w:iCs w:val="0"/>
                <w:color w:val="000000"/>
                <w:kern w:val="0"/>
                <w:sz w:val="24"/>
                <w:szCs w:val="24"/>
                <w:u w:val="none"/>
                <w:lang w:val="en-US" w:eastAsia="zh-CN" w:bidi="ar"/>
              </w:rPr>
              <w:t>单台服务器配置4张推理卡（NPU卡）作为最小单元进行租赁。</w:t>
            </w:r>
          </w:p>
        </w:tc>
      </w:tr>
      <w:tr w14:paraId="08121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5" w:type="dxa"/>
            <w:noWrap w:val="0"/>
            <w:vAlign w:val="center"/>
          </w:tcPr>
          <w:p w14:paraId="37EA1E7B">
            <w:pPr>
              <w:pStyle w:val="2"/>
              <w:ind w:firstLine="0" w:firstLineChars="0"/>
              <w:jc w:val="left"/>
              <w:rPr>
                <w:rFonts w:hint="eastAsia" w:ascii="宋体" w:hAnsi="宋体" w:eastAsia="宋体" w:cs="宋体"/>
                <w:b w:val="0"/>
                <w:bCs w:val="0"/>
                <w:kern w:val="0"/>
                <w:sz w:val="24"/>
                <w:szCs w:val="24"/>
                <w:highlight w:val="none"/>
                <w:vertAlign w:val="baseline"/>
                <w:lang w:val="en-US" w:eastAsia="zh-CN" w:bidi="ar"/>
              </w:rPr>
            </w:pPr>
            <w:r>
              <w:rPr>
                <w:rFonts w:hint="eastAsia" w:ascii="宋体" w:hAnsi="宋体" w:eastAsia="宋体" w:cs="宋体"/>
                <w:b w:val="0"/>
                <w:bCs w:val="0"/>
                <w:kern w:val="0"/>
                <w:sz w:val="24"/>
                <w:szCs w:val="24"/>
                <w:highlight w:val="none"/>
                <w:vertAlign w:val="baseline"/>
                <w:lang w:val="en-US" w:eastAsia="zh-CN" w:bidi="ar"/>
              </w:rPr>
              <w:t>月服务费计算方法</w:t>
            </w:r>
          </w:p>
        </w:tc>
        <w:tc>
          <w:tcPr>
            <w:tcW w:w="6227" w:type="dxa"/>
            <w:noWrap w:val="0"/>
            <w:vAlign w:val="center"/>
          </w:tcPr>
          <w:p w14:paraId="36101CD7">
            <w:pPr>
              <w:pStyle w:val="2"/>
              <w:ind w:firstLine="0" w:firstLineChars="0"/>
              <w:jc w:val="left"/>
              <w:rPr>
                <w:rFonts w:hint="default" w:ascii="宋体" w:hAnsi="宋体" w:eastAsia="宋体" w:cs="宋体"/>
                <w:color w:val="000000"/>
                <w:sz w:val="24"/>
                <w:szCs w:val="24"/>
                <w:lang w:val="en-US" w:eastAsia="zh-CN"/>
              </w:rPr>
            </w:pPr>
            <w:r>
              <w:rPr>
                <w:rFonts w:hint="eastAsia" w:ascii="宋体" w:hAnsi="宋体" w:eastAsia="宋体" w:cs="宋体"/>
                <w:color w:val="FF0000"/>
                <w:sz w:val="24"/>
                <w:szCs w:val="24"/>
                <w:lang w:val="en-US" w:eastAsia="zh-CN"/>
              </w:rPr>
              <w:t>中标单价*实际租赁单元数量</w:t>
            </w:r>
          </w:p>
        </w:tc>
      </w:tr>
      <w:tr w14:paraId="6D98B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5" w:type="dxa"/>
            <w:noWrap w:val="0"/>
            <w:vAlign w:val="center"/>
          </w:tcPr>
          <w:p w14:paraId="427F220E">
            <w:pPr>
              <w:pStyle w:val="2"/>
              <w:ind w:firstLine="0" w:firstLineChars="0"/>
              <w:jc w:val="left"/>
              <w:rPr>
                <w:rFonts w:hint="eastAsia" w:ascii="宋体" w:hAnsi="宋体" w:eastAsia="宋体" w:cs="宋体"/>
                <w:b w:val="0"/>
                <w:bCs w:val="0"/>
                <w:kern w:val="0"/>
                <w:sz w:val="24"/>
                <w:szCs w:val="24"/>
                <w:highlight w:val="yellow"/>
                <w:vertAlign w:val="baseline"/>
                <w:lang w:val="en-US" w:eastAsia="zh-CN" w:bidi="ar"/>
              </w:rPr>
            </w:pPr>
            <w:r>
              <w:rPr>
                <w:rFonts w:hint="eastAsia" w:ascii="宋体" w:hAnsi="宋体" w:eastAsia="宋体" w:cs="宋体"/>
                <w:b w:val="0"/>
                <w:bCs w:val="0"/>
                <w:kern w:val="0"/>
                <w:sz w:val="24"/>
                <w:szCs w:val="24"/>
                <w:highlight w:val="none"/>
                <w:vertAlign w:val="baseline"/>
                <w:lang w:val="en-US" w:eastAsia="zh-CN" w:bidi="ar"/>
              </w:rPr>
              <w:t>付款方式</w:t>
            </w:r>
          </w:p>
        </w:tc>
        <w:tc>
          <w:tcPr>
            <w:tcW w:w="6227" w:type="dxa"/>
            <w:noWrap w:val="0"/>
            <w:vAlign w:val="center"/>
          </w:tcPr>
          <w:p w14:paraId="675A67E1">
            <w:pPr>
              <w:pStyle w:val="2"/>
              <w:numPr>
                <w:ilvl w:val="0"/>
                <w:numId w:val="0"/>
              </w:numPr>
              <w:ind w:firstLine="0" w:firstLineChars="0"/>
              <w:jc w:val="left"/>
              <w:rPr>
                <w:rFonts w:hint="eastAsia" w:ascii="宋体" w:hAnsi="宋体" w:eastAsia="宋体" w:cs="宋体"/>
                <w:b w:val="0"/>
                <w:bCs w:val="0"/>
                <w:kern w:val="0"/>
                <w:sz w:val="24"/>
                <w:szCs w:val="24"/>
                <w:highlight w:val="yellow"/>
                <w:vertAlign w:val="baseline"/>
                <w:lang w:bidi="ar"/>
              </w:rPr>
            </w:pPr>
            <w:r>
              <w:rPr>
                <w:rFonts w:hint="eastAsia" w:ascii="宋体" w:hAnsi="宋体" w:eastAsia="宋体" w:cs="宋体"/>
                <w:sz w:val="24"/>
                <w:szCs w:val="24"/>
              </w:rPr>
              <w:t>服务费按</w:t>
            </w:r>
            <w:r>
              <w:rPr>
                <w:rFonts w:hint="eastAsia" w:ascii="宋体" w:hAnsi="宋体" w:eastAsia="宋体" w:cs="宋体"/>
                <w:sz w:val="24"/>
                <w:szCs w:val="24"/>
                <w:lang w:val="en-US" w:eastAsia="zh-CN"/>
              </w:rPr>
              <w:t>月</w:t>
            </w:r>
            <w:r>
              <w:rPr>
                <w:rFonts w:hint="eastAsia" w:ascii="宋体" w:hAnsi="宋体" w:eastAsia="宋体" w:cs="宋体"/>
                <w:sz w:val="24"/>
                <w:szCs w:val="24"/>
              </w:rPr>
              <w:t>支付。采购人在收到中标人提供</w:t>
            </w:r>
            <w:r>
              <w:rPr>
                <w:rFonts w:hint="eastAsia" w:ascii="宋体" w:hAnsi="宋体" w:eastAsia="宋体" w:cs="宋体"/>
                <w:sz w:val="24"/>
                <w:szCs w:val="24"/>
                <w:lang w:val="en-US" w:eastAsia="zh-CN"/>
              </w:rPr>
              <w:t>的正式等额有效发票</w:t>
            </w:r>
            <w:r>
              <w:rPr>
                <w:rFonts w:hint="eastAsia" w:ascii="宋体" w:hAnsi="宋体" w:eastAsia="宋体" w:cs="宋体"/>
                <w:sz w:val="24"/>
                <w:szCs w:val="24"/>
              </w:rPr>
              <w:t>资料（收款方、出具发票方和合同乙方均必须与中标人名称一致）后，于</w:t>
            </w:r>
            <w:r>
              <w:rPr>
                <w:rFonts w:hint="eastAsia" w:ascii="宋体" w:hAnsi="宋体" w:eastAsia="宋体" w:cs="宋体"/>
                <w:sz w:val="24"/>
                <w:szCs w:val="24"/>
                <w:lang w:val="en-US" w:eastAsia="zh-CN"/>
              </w:rPr>
              <w:t>15</w:t>
            </w:r>
            <w:r>
              <w:rPr>
                <w:rFonts w:hint="eastAsia" w:ascii="宋体" w:hAnsi="宋体" w:eastAsia="宋体" w:cs="宋体"/>
                <w:sz w:val="24"/>
                <w:szCs w:val="24"/>
              </w:rPr>
              <w:t>日内办理支付</w:t>
            </w:r>
            <w:r>
              <w:rPr>
                <w:rFonts w:hint="eastAsia" w:ascii="宋体" w:hAnsi="宋体" w:eastAsia="宋体" w:cs="宋体"/>
                <w:sz w:val="24"/>
                <w:szCs w:val="24"/>
                <w:lang w:val="en-US" w:eastAsia="zh-CN"/>
              </w:rPr>
              <w:t>当月</w:t>
            </w:r>
            <w:r>
              <w:rPr>
                <w:rFonts w:hint="eastAsia" w:ascii="宋体" w:hAnsi="宋体" w:eastAsia="宋体" w:cs="宋体"/>
                <w:sz w:val="24"/>
                <w:szCs w:val="24"/>
              </w:rPr>
              <w:t xml:space="preserve">服务费给中标人。 </w:t>
            </w:r>
          </w:p>
        </w:tc>
      </w:tr>
      <w:tr w14:paraId="1873D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5" w:type="dxa"/>
            <w:noWrap w:val="0"/>
            <w:vAlign w:val="center"/>
          </w:tcPr>
          <w:p w14:paraId="737D00E2">
            <w:pPr>
              <w:pStyle w:val="2"/>
              <w:ind w:firstLine="0" w:firstLineChars="0"/>
              <w:jc w:val="left"/>
              <w:rPr>
                <w:rFonts w:hint="eastAsia" w:ascii="宋体" w:hAnsi="宋体" w:eastAsia="宋体" w:cs="宋体"/>
                <w:b w:val="0"/>
                <w:bCs w:val="0"/>
                <w:kern w:val="0"/>
                <w:sz w:val="24"/>
                <w:szCs w:val="24"/>
                <w:highlight w:val="none"/>
                <w:vertAlign w:val="baseline"/>
                <w:lang w:val="en-US" w:eastAsia="zh-CN" w:bidi="ar"/>
              </w:rPr>
            </w:pPr>
            <w:r>
              <w:rPr>
                <w:rFonts w:hint="eastAsia" w:ascii="宋体" w:hAnsi="宋体" w:eastAsia="宋体" w:cs="宋体"/>
                <w:b w:val="0"/>
                <w:bCs w:val="0"/>
                <w:kern w:val="0"/>
                <w:sz w:val="24"/>
                <w:szCs w:val="24"/>
                <w:highlight w:val="none"/>
                <w:vertAlign w:val="baseline"/>
                <w:lang w:val="en-US" w:eastAsia="zh-CN" w:bidi="ar"/>
              </w:rPr>
              <w:t>安装与调试</w:t>
            </w:r>
          </w:p>
        </w:tc>
        <w:tc>
          <w:tcPr>
            <w:tcW w:w="6227" w:type="dxa"/>
            <w:noWrap w:val="0"/>
            <w:vAlign w:val="center"/>
          </w:tcPr>
          <w:p w14:paraId="27A36C70">
            <w:pPr>
              <w:spacing w:line="500" w:lineRule="exact"/>
              <w:rPr>
                <w:rFonts w:hint="eastAsia" w:ascii="宋体" w:hAnsi="宋体" w:eastAsia="宋体" w:cs="宋体"/>
                <w:b w:val="0"/>
                <w:bCs w:val="0"/>
                <w:kern w:val="0"/>
                <w:sz w:val="24"/>
                <w:szCs w:val="24"/>
                <w:highlight w:val="none"/>
                <w:vertAlign w:val="baseline"/>
                <w:lang w:bidi="ar"/>
              </w:rPr>
            </w:pPr>
            <w:r>
              <w:rPr>
                <w:rFonts w:hint="eastAsia" w:ascii="宋体" w:hAnsi="宋体" w:eastAsia="宋体" w:cs="宋体"/>
                <w:color w:val="000000"/>
                <w:sz w:val="24"/>
                <w:szCs w:val="24"/>
              </w:rPr>
              <w:t>按采购人的要求进行安装、配置与调试。中标人必须依照采购文件的要求和响应文件的承诺，将设备、系统安装并与采购人现有信息系统适配调试至正常运行的最佳状态。</w:t>
            </w:r>
          </w:p>
        </w:tc>
      </w:tr>
      <w:tr w14:paraId="330D9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5" w:type="dxa"/>
            <w:noWrap w:val="0"/>
            <w:vAlign w:val="center"/>
          </w:tcPr>
          <w:p w14:paraId="7941E7EC">
            <w:pPr>
              <w:pStyle w:val="2"/>
              <w:ind w:firstLine="0" w:firstLineChars="0"/>
              <w:jc w:val="left"/>
              <w:rPr>
                <w:rFonts w:hint="eastAsia" w:ascii="宋体" w:hAnsi="宋体" w:eastAsia="宋体" w:cs="宋体"/>
                <w:b w:val="0"/>
                <w:bCs w:val="0"/>
                <w:kern w:val="0"/>
                <w:sz w:val="24"/>
                <w:szCs w:val="24"/>
                <w:highlight w:val="none"/>
                <w:vertAlign w:val="baseline"/>
                <w:lang w:val="en-US" w:eastAsia="zh-CN" w:bidi="ar"/>
              </w:rPr>
            </w:pPr>
            <w:r>
              <w:rPr>
                <w:rFonts w:hint="eastAsia" w:ascii="宋体" w:hAnsi="宋体" w:eastAsia="宋体" w:cs="宋体"/>
                <w:b w:val="0"/>
                <w:bCs w:val="0"/>
                <w:kern w:val="0"/>
                <w:sz w:val="24"/>
                <w:szCs w:val="24"/>
                <w:highlight w:val="none"/>
                <w:vertAlign w:val="baseline"/>
                <w:lang w:val="en-US" w:eastAsia="zh-CN" w:bidi="ar"/>
              </w:rPr>
              <w:t>验收要求</w:t>
            </w:r>
          </w:p>
        </w:tc>
        <w:tc>
          <w:tcPr>
            <w:tcW w:w="6227" w:type="dxa"/>
            <w:noWrap w:val="0"/>
            <w:vAlign w:val="center"/>
          </w:tcPr>
          <w:p w14:paraId="754CD93E">
            <w:pPr>
              <w:pStyle w:val="2"/>
              <w:ind w:firstLine="0" w:firstLineChars="0"/>
              <w:jc w:val="left"/>
              <w:rPr>
                <w:rFonts w:hint="eastAsia" w:ascii="宋体" w:hAnsi="宋体" w:eastAsia="宋体" w:cs="宋体"/>
                <w:color w:val="000000"/>
                <w:kern w:val="2"/>
                <w:sz w:val="24"/>
                <w:szCs w:val="24"/>
              </w:rPr>
            </w:pPr>
            <w:r>
              <w:rPr>
                <w:rFonts w:hint="eastAsia" w:ascii="宋体" w:hAnsi="宋体" w:eastAsia="宋体" w:cs="宋体"/>
                <w:color w:val="000000"/>
                <w:kern w:val="2"/>
                <w:sz w:val="24"/>
                <w:szCs w:val="24"/>
                <w:lang w:val="en-US" w:eastAsia="zh-CN"/>
              </w:rPr>
              <w:t>1、</w:t>
            </w:r>
            <w:r>
              <w:rPr>
                <w:rFonts w:hint="eastAsia" w:ascii="宋体" w:hAnsi="宋体" w:eastAsia="宋体" w:cs="宋体"/>
                <w:color w:val="000000"/>
                <w:kern w:val="2"/>
                <w:sz w:val="24"/>
                <w:szCs w:val="24"/>
              </w:rPr>
              <w:t>验收工作由采购人和成交供应商共同进行验收</w:t>
            </w:r>
            <w:r>
              <w:rPr>
                <w:rFonts w:hint="eastAsia" w:ascii="宋体" w:hAnsi="宋体" w:eastAsia="宋体" w:cs="宋体"/>
                <w:color w:val="000000"/>
                <w:kern w:val="2"/>
                <w:sz w:val="24"/>
                <w:szCs w:val="24"/>
                <w:lang w:eastAsia="zh-CN"/>
              </w:rPr>
              <w:t>，</w:t>
            </w:r>
            <w:r>
              <w:rPr>
                <w:rFonts w:hint="eastAsia" w:ascii="宋体" w:hAnsi="宋体" w:eastAsia="宋体" w:cs="宋体"/>
                <w:color w:val="000000"/>
                <w:kern w:val="2"/>
                <w:sz w:val="24"/>
                <w:szCs w:val="24"/>
              </w:rPr>
              <w:t>所有验收项全部满足，系统运行稳定</w:t>
            </w:r>
            <w:r>
              <w:rPr>
                <w:rFonts w:hint="eastAsia" w:ascii="宋体" w:hAnsi="宋体" w:eastAsia="宋体" w:cs="宋体"/>
                <w:color w:val="000000"/>
                <w:kern w:val="2"/>
                <w:sz w:val="24"/>
                <w:szCs w:val="24"/>
                <w:lang w:val="en-US" w:eastAsia="zh-CN"/>
              </w:rPr>
              <w:t>后</w:t>
            </w:r>
            <w:r>
              <w:rPr>
                <w:rFonts w:hint="eastAsia" w:ascii="宋体" w:hAnsi="宋体" w:eastAsia="宋体" w:cs="宋体"/>
                <w:color w:val="000000"/>
                <w:kern w:val="2"/>
                <w:sz w:val="24"/>
                <w:szCs w:val="24"/>
              </w:rPr>
              <w:t>，</w:t>
            </w:r>
            <w:r>
              <w:rPr>
                <w:rFonts w:hint="eastAsia" w:ascii="宋体" w:hAnsi="宋体" w:eastAsia="宋体" w:cs="宋体"/>
                <w:color w:val="000000"/>
                <w:kern w:val="2"/>
                <w:sz w:val="24"/>
                <w:szCs w:val="24"/>
                <w:lang w:val="en-US" w:eastAsia="zh-CN"/>
              </w:rPr>
              <w:t>甲方在收到乙方提出的验收建议之日起15个工作日内按照合同约定对履约情况进行验收</w:t>
            </w:r>
            <w:r>
              <w:rPr>
                <w:rFonts w:hint="eastAsia" w:ascii="宋体" w:hAnsi="宋体" w:eastAsia="宋体" w:cs="宋体"/>
                <w:color w:val="000000"/>
                <w:kern w:val="2"/>
                <w:sz w:val="24"/>
                <w:szCs w:val="24"/>
              </w:rPr>
              <w:t>。在验收时，成交供应商应向采购人提供产品的相关资料，并按采购人提出的方式进行验收。</w:t>
            </w:r>
          </w:p>
          <w:p w14:paraId="68A0FAD2">
            <w:pPr>
              <w:pStyle w:val="2"/>
              <w:ind w:firstLine="0" w:firstLineChars="0"/>
              <w:jc w:val="left"/>
              <w:rPr>
                <w:rFonts w:hint="eastAsia" w:ascii="宋体" w:hAnsi="宋体" w:eastAsia="宋体" w:cs="宋体"/>
                <w:b w:val="0"/>
                <w:bCs w:val="0"/>
                <w:kern w:val="0"/>
                <w:sz w:val="24"/>
                <w:szCs w:val="24"/>
                <w:highlight w:val="none"/>
                <w:vertAlign w:val="baseline"/>
                <w:lang w:bidi="ar"/>
              </w:rPr>
            </w:pPr>
            <w:r>
              <w:rPr>
                <w:rFonts w:hint="eastAsia" w:ascii="宋体" w:hAnsi="宋体" w:eastAsia="宋体" w:cs="宋体"/>
                <w:color w:val="000000"/>
                <w:kern w:val="2"/>
                <w:sz w:val="24"/>
                <w:szCs w:val="24"/>
                <w:lang w:val="en-US" w:eastAsia="zh-CN"/>
              </w:rPr>
              <w:t>2、验收标准：服务需达到采购文件所规定的技术标准和功能要求，甲方结合相关行业技术规范及投标文件等的内容作为验收标准和依据。</w:t>
            </w:r>
          </w:p>
        </w:tc>
      </w:tr>
      <w:tr w14:paraId="40CD7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5" w:type="dxa"/>
            <w:noWrap w:val="0"/>
            <w:vAlign w:val="center"/>
          </w:tcPr>
          <w:p w14:paraId="36844CA6">
            <w:pPr>
              <w:pStyle w:val="2"/>
              <w:ind w:firstLine="0" w:firstLineChars="0"/>
              <w:jc w:val="left"/>
              <w:rPr>
                <w:rFonts w:hint="eastAsia" w:ascii="宋体" w:hAnsi="宋体" w:eastAsia="宋体" w:cs="宋体"/>
                <w:b w:val="0"/>
                <w:bCs w:val="0"/>
                <w:kern w:val="0"/>
                <w:sz w:val="24"/>
                <w:szCs w:val="24"/>
                <w:highlight w:val="none"/>
                <w:vertAlign w:val="baseline"/>
                <w:lang w:val="en-US" w:eastAsia="zh-CN" w:bidi="ar"/>
              </w:rPr>
            </w:pPr>
            <w:r>
              <w:rPr>
                <w:rFonts w:hint="eastAsia" w:ascii="宋体" w:hAnsi="宋体" w:eastAsia="宋体" w:cs="宋体"/>
                <w:b w:val="0"/>
                <w:bCs w:val="0"/>
                <w:kern w:val="0"/>
                <w:sz w:val="24"/>
                <w:szCs w:val="24"/>
                <w:highlight w:val="none"/>
                <w:vertAlign w:val="baseline"/>
                <w:lang w:val="en-US" w:eastAsia="zh-CN" w:bidi="ar"/>
              </w:rPr>
              <w:t>履约保证金</w:t>
            </w:r>
          </w:p>
        </w:tc>
        <w:tc>
          <w:tcPr>
            <w:tcW w:w="6227" w:type="dxa"/>
            <w:noWrap w:val="0"/>
            <w:vAlign w:val="center"/>
          </w:tcPr>
          <w:p w14:paraId="3A15399D">
            <w:pPr>
              <w:pStyle w:val="2"/>
              <w:ind w:firstLine="0" w:firstLineChars="0"/>
              <w:jc w:val="left"/>
              <w:rPr>
                <w:rFonts w:hint="eastAsia" w:ascii="宋体" w:hAnsi="宋体" w:eastAsia="宋体" w:cs="宋体"/>
                <w:b w:val="0"/>
                <w:bCs w:val="0"/>
                <w:kern w:val="0"/>
                <w:sz w:val="24"/>
                <w:szCs w:val="24"/>
                <w:highlight w:val="none"/>
                <w:vertAlign w:val="baseline"/>
                <w:lang w:val="en-US" w:eastAsia="zh-CN" w:bidi="ar"/>
              </w:rPr>
            </w:pPr>
            <w:r>
              <w:rPr>
                <w:rFonts w:hint="eastAsia" w:ascii="宋体" w:hAnsi="宋体" w:eastAsia="宋体" w:cs="宋体"/>
                <w:b w:val="0"/>
                <w:bCs w:val="0"/>
                <w:kern w:val="0"/>
                <w:sz w:val="24"/>
                <w:szCs w:val="24"/>
                <w:highlight w:val="none"/>
                <w:vertAlign w:val="baseline"/>
                <w:lang w:val="en-US" w:eastAsia="zh-CN" w:bidi="ar"/>
              </w:rPr>
              <w:t>无。</w:t>
            </w:r>
          </w:p>
        </w:tc>
      </w:tr>
    </w:tbl>
    <w:p w14:paraId="5EAB2FE0">
      <w:pPr>
        <w:pStyle w:val="2"/>
        <w:ind w:firstLine="0" w:firstLineChars="0"/>
        <w:rPr>
          <w:rFonts w:hint="eastAsia" w:ascii="宋体" w:hAnsi="宋体" w:eastAsia="宋体" w:cs="宋体"/>
          <w:b/>
          <w:bCs/>
          <w:kern w:val="0"/>
          <w:sz w:val="24"/>
          <w:szCs w:val="24"/>
          <w:highlight w:val="none"/>
          <w:lang w:eastAsia="zh-CN" w:bidi="ar"/>
        </w:rPr>
      </w:pPr>
    </w:p>
    <w:p w14:paraId="401880B9">
      <w:pPr>
        <w:widowControl/>
        <w:numPr>
          <w:ilvl w:val="0"/>
          <w:numId w:val="2"/>
        </w:numPr>
        <w:spacing w:line="400" w:lineRule="exact"/>
        <w:ind w:left="210"/>
        <w:jc w:val="left"/>
        <w:rPr>
          <w:rFonts w:hint="eastAsia" w:ascii="宋体" w:hAnsi="宋体" w:eastAsia="宋体" w:cs="宋体"/>
          <w:b/>
          <w:bCs/>
          <w:kern w:val="0"/>
          <w:sz w:val="24"/>
          <w:szCs w:val="24"/>
          <w:highlight w:val="none"/>
          <w:lang w:val="en-US" w:eastAsia="zh-CN" w:bidi="ar"/>
        </w:rPr>
      </w:pPr>
      <w:r>
        <w:rPr>
          <w:rFonts w:hint="eastAsia" w:ascii="宋体" w:hAnsi="宋体" w:eastAsia="宋体" w:cs="宋体"/>
          <w:b/>
          <w:bCs/>
          <w:kern w:val="0"/>
          <w:sz w:val="24"/>
          <w:szCs w:val="24"/>
          <w:highlight w:val="none"/>
          <w:lang w:val="en-US" w:eastAsia="zh-CN" w:bidi="ar"/>
        </w:rPr>
        <w:t>技术要求：</w:t>
      </w:r>
    </w:p>
    <w:p w14:paraId="5E730091">
      <w:pPr>
        <w:pStyle w:val="10"/>
        <w:keepNext w:val="0"/>
        <w:keepLines w:val="0"/>
        <w:pageBreakBefore w:val="0"/>
        <w:widowControl w:val="0"/>
        <w:numPr>
          <w:ilvl w:val="0"/>
          <w:numId w:val="0"/>
        </w:numPr>
        <w:kinsoku/>
        <w:wordWrap/>
        <w:overflowPunct/>
        <w:topLinePunct w:val="0"/>
        <w:autoSpaceDE/>
        <w:autoSpaceDN/>
        <w:bidi w:val="0"/>
        <w:adjustRightInd/>
        <w:snapToGrid/>
        <w:spacing w:before="79" w:beforeLines="25" w:line="240" w:lineRule="auto"/>
        <w:textAlignment w:val="auto"/>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租赁设备技术参数要求</w:t>
      </w:r>
    </w:p>
    <w:tbl>
      <w:tblPr>
        <w:tblStyle w:val="12"/>
        <w:tblW w:w="857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13"/>
        <w:gridCol w:w="7264"/>
      </w:tblGrid>
      <w:tr w14:paraId="239B5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blHeader/>
        </w:trPr>
        <w:tc>
          <w:tcPr>
            <w:tcW w:w="1313" w:type="dxa"/>
            <w:tcBorders>
              <w:top w:val="single" w:color="auto" w:sz="4" w:space="0"/>
              <w:left w:val="single" w:color="auto" w:sz="4" w:space="0"/>
              <w:bottom w:val="single" w:color="auto" w:sz="4" w:space="0"/>
              <w:right w:val="single" w:color="auto" w:sz="4" w:space="0"/>
            </w:tcBorders>
            <w:noWrap w:val="0"/>
            <w:vAlign w:val="center"/>
          </w:tcPr>
          <w:p w14:paraId="0ADC458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服务名称</w:t>
            </w:r>
          </w:p>
        </w:tc>
        <w:tc>
          <w:tcPr>
            <w:tcW w:w="7264" w:type="dxa"/>
            <w:tcBorders>
              <w:top w:val="single" w:color="auto" w:sz="4" w:space="0"/>
              <w:left w:val="single" w:color="auto" w:sz="4" w:space="0"/>
              <w:bottom w:val="single" w:color="auto" w:sz="4" w:space="0"/>
              <w:right w:val="single" w:color="auto" w:sz="4" w:space="0"/>
            </w:tcBorders>
            <w:noWrap w:val="0"/>
            <w:vAlign w:val="center"/>
          </w:tcPr>
          <w:p w14:paraId="173A140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技术参数要求</w:t>
            </w:r>
          </w:p>
        </w:tc>
      </w:tr>
      <w:tr w14:paraId="0F211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restart"/>
            <w:tcBorders>
              <w:top w:val="single" w:color="auto" w:sz="4" w:space="0"/>
              <w:left w:val="single" w:color="auto" w:sz="4" w:space="0"/>
              <w:bottom w:val="single" w:color="auto" w:sz="4" w:space="0"/>
              <w:right w:val="single" w:color="auto" w:sz="4" w:space="0"/>
            </w:tcBorders>
            <w:noWrap w:val="0"/>
            <w:vAlign w:val="center"/>
          </w:tcPr>
          <w:p w14:paraId="61892242">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智算裸金属服务</w:t>
            </w:r>
          </w:p>
        </w:tc>
        <w:tc>
          <w:tcPr>
            <w:tcW w:w="7264" w:type="dxa"/>
            <w:tcBorders>
              <w:top w:val="single" w:color="auto" w:sz="4" w:space="0"/>
              <w:left w:val="single" w:color="auto" w:sz="4" w:space="0"/>
              <w:bottom w:val="single" w:color="auto" w:sz="4" w:space="0"/>
              <w:right w:val="single" w:color="auto" w:sz="4" w:space="0"/>
            </w:tcBorders>
            <w:noWrap w:val="0"/>
            <w:vAlign w:val="center"/>
          </w:tcPr>
          <w:p w14:paraId="3753CD25">
            <w:pPr>
              <w:keepNext w:val="0"/>
              <w:keepLines w:val="0"/>
              <w:widowControl/>
              <w:suppressLineNumbers w:val="0"/>
              <w:jc w:val="both"/>
              <w:textAlignment w:val="top"/>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1.1单台服务器配置≥4个国产高性能处理器（48core，2.6GHz）。</w:t>
            </w:r>
          </w:p>
        </w:tc>
      </w:tr>
      <w:tr w14:paraId="6906E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11AB03D6">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0826FCEA">
            <w:pPr>
              <w:keepNext w:val="0"/>
              <w:keepLines w:val="0"/>
              <w:widowControl/>
              <w:suppressLineNumbers w:val="0"/>
              <w:jc w:val="both"/>
              <w:textAlignment w:val="top"/>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1.2单台服务器配置≥32个64GB DDR4内存。</w:t>
            </w:r>
          </w:p>
        </w:tc>
      </w:tr>
      <w:tr w14:paraId="4754D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31348ADC">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20F2B1CD">
            <w:pPr>
              <w:keepNext w:val="0"/>
              <w:keepLines w:val="0"/>
              <w:widowControl/>
              <w:suppressLineNumbers w:val="0"/>
              <w:jc w:val="both"/>
              <w:textAlignment w:val="top"/>
              <w:rPr>
                <w:rFonts w:hint="eastAsia" w:ascii="宋体" w:hAnsi="宋体" w:eastAsia="宋体" w:cs="宋体"/>
                <w:i w:val="0"/>
                <w:iCs w:val="0"/>
                <w:color w:val="auto"/>
                <w:sz w:val="24"/>
                <w:szCs w:val="24"/>
                <w:u w:val="none"/>
              </w:rPr>
            </w:pPr>
            <w:r>
              <w:rPr>
                <w:rFonts w:hint="eastAsia" w:ascii="宋体" w:hAnsi="宋体" w:eastAsia="宋体" w:cs="宋体"/>
                <w:color w:val="auto"/>
                <w:sz w:val="24"/>
                <w:szCs w:val="24"/>
              </w:rPr>
              <w:t>▲</w:t>
            </w:r>
            <w:r>
              <w:rPr>
                <w:rFonts w:hint="eastAsia" w:ascii="宋体" w:hAnsi="宋体" w:eastAsia="宋体" w:cs="宋体"/>
                <w:i w:val="0"/>
                <w:iCs w:val="0"/>
                <w:color w:val="auto"/>
                <w:kern w:val="0"/>
                <w:sz w:val="24"/>
                <w:szCs w:val="24"/>
                <w:u w:val="none"/>
                <w:lang w:val="en-US" w:eastAsia="zh-CN" w:bidi="ar"/>
              </w:rPr>
              <w:t>1.3单台服务器配置8张推理卡（NPU卡）；单张推理卡（NPU卡）的FP16算力≥376TFLOPS。（提供单卡FP16算力证明材料）</w:t>
            </w:r>
          </w:p>
        </w:tc>
      </w:tr>
      <w:tr w14:paraId="292A8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1B169502">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7FB89C35">
            <w:pPr>
              <w:keepNext w:val="0"/>
              <w:keepLines w:val="0"/>
              <w:widowControl/>
              <w:suppressLineNumbers w:val="0"/>
              <w:jc w:val="both"/>
              <w:textAlignment w:val="top"/>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1.4推理卡（NPU卡）显存：单卡显存≥64GB；整机显存≥512GB。</w:t>
            </w:r>
          </w:p>
        </w:tc>
      </w:tr>
      <w:tr w14:paraId="5FC72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0A5C0E43">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6C5C3CDF">
            <w:pPr>
              <w:keepNext w:val="0"/>
              <w:keepLines w:val="0"/>
              <w:widowControl/>
              <w:suppressLineNumbers w:val="0"/>
              <w:jc w:val="both"/>
              <w:textAlignment w:val="top"/>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1.5单张推理卡（NPU卡）具备≥200GE的高速互联端口。</w:t>
            </w:r>
          </w:p>
        </w:tc>
      </w:tr>
      <w:tr w14:paraId="64B96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2C6ABFBB">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5B949F4D">
            <w:pPr>
              <w:keepNext w:val="0"/>
              <w:keepLines w:val="0"/>
              <w:widowControl/>
              <w:suppressLineNumbers w:val="0"/>
              <w:jc w:val="both"/>
              <w:textAlignment w:val="top"/>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1.6单台服务器配置≥2个系统盘和2个数据盘。系统盘为≥480GB的SATA SSD；数据盘为≥3.2TB的NVME SSD。</w:t>
            </w:r>
          </w:p>
        </w:tc>
      </w:tr>
      <w:tr w14:paraId="53F80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463DC136">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433AD106">
            <w:pPr>
              <w:keepNext w:val="0"/>
              <w:keepLines w:val="0"/>
              <w:widowControl/>
              <w:suppressLineNumbers w:val="0"/>
              <w:jc w:val="both"/>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1.7单台服务器的网卡配置至少2个1GE端口、2个10GE端口、4个25GE端口和8个200GE端口。</w:t>
            </w:r>
          </w:p>
        </w:tc>
      </w:tr>
      <w:tr w14:paraId="2BA2A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restart"/>
            <w:tcBorders>
              <w:top w:val="single" w:color="auto" w:sz="4" w:space="0"/>
              <w:left w:val="single" w:color="auto" w:sz="4" w:space="0"/>
              <w:bottom w:val="single" w:color="auto" w:sz="4" w:space="0"/>
              <w:right w:val="single" w:color="auto" w:sz="4" w:space="0"/>
            </w:tcBorders>
            <w:noWrap w:val="0"/>
            <w:vAlign w:val="center"/>
          </w:tcPr>
          <w:p w14:paraId="622B86B3">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云专线</w:t>
            </w:r>
          </w:p>
        </w:tc>
        <w:tc>
          <w:tcPr>
            <w:tcW w:w="7264" w:type="dxa"/>
            <w:tcBorders>
              <w:top w:val="single" w:color="auto" w:sz="4" w:space="0"/>
              <w:left w:val="single" w:color="auto" w:sz="4" w:space="0"/>
              <w:bottom w:val="single" w:color="auto" w:sz="4" w:space="0"/>
              <w:right w:val="single" w:color="auto" w:sz="4" w:space="0"/>
            </w:tcBorders>
            <w:noWrap w:val="0"/>
            <w:vAlign w:val="center"/>
          </w:tcPr>
          <w:p w14:paraId="0E58ED4C">
            <w:pPr>
              <w:keepNext w:val="0"/>
              <w:keepLines w:val="0"/>
              <w:widowControl/>
              <w:suppressLineNumbers w:val="0"/>
              <w:jc w:val="both"/>
              <w:textAlignment w:val="top"/>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2.1专线带宽‌：≥200Mbps。（需满足实际业务使用带宽，如200Mbps不能满足，则免费提高带宽）</w:t>
            </w:r>
          </w:p>
        </w:tc>
      </w:tr>
      <w:tr w14:paraId="5F45C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042EF8FD">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71ED98AB">
            <w:pPr>
              <w:keepNext w:val="0"/>
              <w:keepLines w:val="0"/>
              <w:widowControl/>
              <w:suppressLineNumbers w:val="0"/>
              <w:jc w:val="both"/>
              <w:textAlignment w:val="top"/>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2.2支持在产品官网界面发起业务订购。</w:t>
            </w:r>
          </w:p>
        </w:tc>
      </w:tr>
      <w:tr w14:paraId="70872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79CF9045">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526131B3">
            <w:pPr>
              <w:keepNext w:val="0"/>
              <w:keepLines w:val="0"/>
              <w:widowControl/>
              <w:suppressLineNumbers w:val="0"/>
              <w:jc w:val="both"/>
              <w:textAlignment w:val="top"/>
              <w:rPr>
                <w:rFonts w:hint="eastAsia" w:ascii="宋体" w:hAnsi="宋体" w:eastAsia="宋体" w:cs="宋体"/>
                <w:i w:val="0"/>
                <w:iCs w:val="0"/>
                <w:color w:val="auto"/>
                <w:sz w:val="24"/>
                <w:szCs w:val="24"/>
                <w:u w:val="none"/>
              </w:rPr>
            </w:pPr>
            <w:r>
              <w:rPr>
                <w:rFonts w:hint="eastAsia" w:ascii="宋体" w:hAnsi="宋体" w:eastAsia="宋体" w:cs="宋体"/>
                <w:color w:val="auto"/>
                <w:sz w:val="24"/>
                <w:szCs w:val="24"/>
              </w:rPr>
              <w:t>▲</w:t>
            </w:r>
            <w:r>
              <w:rPr>
                <w:rFonts w:hint="eastAsia" w:ascii="宋体" w:hAnsi="宋体" w:eastAsia="宋体" w:cs="宋体"/>
                <w:i w:val="0"/>
                <w:iCs w:val="0"/>
                <w:color w:val="auto"/>
                <w:kern w:val="0"/>
                <w:sz w:val="24"/>
                <w:szCs w:val="24"/>
                <w:u w:val="none"/>
                <w:lang w:val="en-US" w:eastAsia="zh-CN" w:bidi="ar"/>
              </w:rPr>
              <w:t>2.3支持在产品控制台发起VPC子网、用户子网、用户接入地址变更。</w:t>
            </w:r>
          </w:p>
        </w:tc>
      </w:tr>
      <w:tr w14:paraId="64283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525598D5">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20DAE957">
            <w:pPr>
              <w:keepNext w:val="0"/>
              <w:keepLines w:val="0"/>
              <w:widowControl/>
              <w:suppressLineNumbers w:val="0"/>
              <w:jc w:val="both"/>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2.4支持自服务能力，业务监测，提供PING测的时延、丢包、抖动等结果。</w:t>
            </w:r>
          </w:p>
        </w:tc>
      </w:tr>
      <w:tr w14:paraId="27956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14047639">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701C0D53">
            <w:pPr>
              <w:keepNext w:val="0"/>
              <w:keepLines w:val="0"/>
              <w:widowControl/>
              <w:suppressLineNumbers w:val="0"/>
              <w:jc w:val="both"/>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2.5端到端私网通信，与公网隔离</w:t>
            </w:r>
          </w:p>
        </w:tc>
      </w:tr>
      <w:tr w14:paraId="42AA0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3BD8595C">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18474B6F">
            <w:pPr>
              <w:keepNext w:val="0"/>
              <w:keepLines w:val="0"/>
              <w:widowControl/>
              <w:suppressLineNumbers w:val="0"/>
              <w:jc w:val="both"/>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2.6在网络稳定状态下由于网络资源缺乏造成的不能转发的数据帧和总数据帧的百分比在正常带宽负荷下（负荷小于 70％）≤0.1%（挂表测试为准）</w:t>
            </w:r>
          </w:p>
        </w:tc>
      </w:tr>
      <w:tr w14:paraId="7CA66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4393AA03">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3FDF3298">
            <w:pPr>
              <w:keepNext w:val="0"/>
              <w:keepLines w:val="0"/>
              <w:widowControl/>
              <w:suppressLineNumbers w:val="0"/>
              <w:jc w:val="both"/>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2.7支持带宽规格10Mbps-百GB</w:t>
            </w:r>
          </w:p>
        </w:tc>
      </w:tr>
      <w:tr w14:paraId="56F1A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499C71FA">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266B470A">
            <w:pPr>
              <w:keepNext w:val="0"/>
              <w:keepLines w:val="0"/>
              <w:widowControl/>
              <w:suppressLineNumbers w:val="0"/>
              <w:jc w:val="both"/>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2.8支持云专网全网开通业务</w:t>
            </w:r>
          </w:p>
        </w:tc>
      </w:tr>
      <w:tr w14:paraId="0B50A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1C04780E">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711C2CDD">
            <w:pPr>
              <w:keepNext w:val="0"/>
              <w:keepLines w:val="0"/>
              <w:widowControl/>
              <w:suppressLineNumbers w:val="0"/>
              <w:jc w:val="both"/>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2.9支持云专网选路能力</w:t>
            </w:r>
          </w:p>
        </w:tc>
      </w:tr>
      <w:tr w14:paraId="41A2A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514CDDB7">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16B1FA8E">
            <w:pPr>
              <w:keepNext w:val="0"/>
              <w:keepLines w:val="0"/>
              <w:widowControl/>
              <w:suppressLineNumbers w:val="0"/>
              <w:jc w:val="both"/>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2.10支持自服务能力，业务监测，提供PING测的时延、丢包、抖动等结果</w:t>
            </w:r>
          </w:p>
        </w:tc>
      </w:tr>
      <w:tr w14:paraId="21E17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313" w:type="dxa"/>
            <w:vMerge w:val="continue"/>
            <w:tcBorders>
              <w:top w:val="single" w:color="auto" w:sz="4" w:space="0"/>
              <w:left w:val="single" w:color="auto" w:sz="4" w:space="0"/>
              <w:bottom w:val="single" w:color="auto" w:sz="4" w:space="0"/>
              <w:right w:val="single" w:color="auto" w:sz="4" w:space="0"/>
            </w:tcBorders>
            <w:noWrap w:val="0"/>
            <w:vAlign w:val="center"/>
          </w:tcPr>
          <w:p w14:paraId="1B2D9A2C">
            <w:pPr>
              <w:jc w:val="both"/>
              <w:rPr>
                <w:rFonts w:hint="eastAsia" w:ascii="宋体" w:hAnsi="宋体" w:eastAsia="宋体" w:cs="宋体"/>
                <w:i w:val="0"/>
                <w:iCs w:val="0"/>
                <w:color w:val="000000"/>
                <w:sz w:val="24"/>
                <w:szCs w:val="24"/>
                <w:u w:val="none"/>
              </w:rPr>
            </w:pPr>
          </w:p>
        </w:tc>
        <w:tc>
          <w:tcPr>
            <w:tcW w:w="7264" w:type="dxa"/>
            <w:tcBorders>
              <w:top w:val="single" w:color="auto" w:sz="4" w:space="0"/>
              <w:left w:val="single" w:color="auto" w:sz="4" w:space="0"/>
              <w:bottom w:val="single" w:color="auto" w:sz="4" w:space="0"/>
              <w:right w:val="single" w:color="auto" w:sz="4" w:space="0"/>
            </w:tcBorders>
            <w:noWrap w:val="0"/>
            <w:vAlign w:val="center"/>
          </w:tcPr>
          <w:p w14:paraId="1FBE04D2">
            <w:pPr>
              <w:keepNext w:val="0"/>
              <w:keepLines w:val="0"/>
              <w:widowControl/>
              <w:suppressLineNumbers w:val="0"/>
              <w:jc w:val="both"/>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2.11支持一条物理线路分配多个vlan，从实现业务隔离</w:t>
            </w:r>
          </w:p>
        </w:tc>
      </w:tr>
    </w:tbl>
    <w:p w14:paraId="3D1FCCBE">
      <w:pPr>
        <w:rPr>
          <w:rFonts w:hint="eastAsia" w:ascii="宋体" w:hAnsi="宋体" w:eastAsia="宋体" w:cs="宋体"/>
          <w:color w:val="auto"/>
          <w:sz w:val="24"/>
          <w:szCs w:val="24"/>
          <w:highlight w:val="none"/>
          <w:lang w:val="en-US" w:eastAsia="zh-CN"/>
        </w:rPr>
      </w:pPr>
    </w:p>
    <w:p w14:paraId="20DEDC03">
      <w:pPr>
        <w:rPr>
          <w:rFonts w:hint="eastAsia" w:ascii="宋体" w:hAnsi="宋体" w:eastAsia="宋体" w:cs="宋体"/>
          <w:color w:val="FF0000"/>
          <w:sz w:val="24"/>
          <w:szCs w:val="24"/>
          <w:highlight w:val="none"/>
          <w:lang w:val="en-US" w:eastAsia="zh-CN"/>
        </w:rPr>
      </w:pPr>
      <w:bookmarkStart w:id="1" w:name="_GoBack"/>
      <w:r>
        <w:rPr>
          <w:rFonts w:hint="eastAsia" w:ascii="宋体" w:hAnsi="宋体" w:eastAsia="宋体" w:cs="宋体"/>
          <w:color w:val="FF0000"/>
          <w:sz w:val="24"/>
          <w:szCs w:val="24"/>
          <w:highlight w:val="none"/>
          <w:lang w:val="en-US" w:eastAsia="zh-CN"/>
        </w:rPr>
        <w:t>其他技术要求：</w:t>
      </w:r>
    </w:p>
    <w:p w14:paraId="52127102">
      <w:pPr>
        <w:numPr>
          <w:numId w:val="0"/>
        </w:numPr>
        <w:rPr>
          <w:rFonts w:hint="default"/>
          <w:color w:val="FF0000"/>
          <w:lang w:val="en-US" w:eastAsia="zh-CN"/>
        </w:rPr>
      </w:pPr>
      <w:r>
        <w:rPr>
          <w:rFonts w:hint="eastAsia" w:ascii="宋体" w:hAnsi="宋体" w:eastAsia="宋体" w:cs="宋体"/>
          <w:color w:val="FF0000"/>
          <w:sz w:val="24"/>
          <w:szCs w:val="24"/>
          <w:highlight w:val="none"/>
          <w:lang w:val="en-US" w:eastAsia="zh-CN"/>
        </w:rPr>
        <w:t>1）年度内（1年）合计断网时间累计不得多于12小时，每超过1小时的，服务期相应顺延1天。</w:t>
      </w:r>
    </w:p>
    <w:p w14:paraId="11FCD790">
      <w:pPr>
        <w:pStyle w:val="2"/>
        <w:ind w:left="0" w:leftChars="0" w:firstLine="0" w:firstLineChars="0"/>
        <w:rPr>
          <w:rFonts w:hint="default"/>
          <w:color w:val="FF0000"/>
          <w:lang w:val="en-US" w:eastAsia="zh-CN"/>
        </w:rPr>
      </w:pPr>
      <w:r>
        <w:rPr>
          <w:rFonts w:hint="eastAsia" w:ascii="宋体" w:hAnsi="宋体" w:eastAsia="宋体" w:cs="宋体"/>
          <w:color w:val="FF0000"/>
          <w:sz w:val="24"/>
          <w:szCs w:val="24"/>
          <w:highlight w:val="none"/>
          <w:lang w:val="en-US" w:eastAsia="zh-CN"/>
        </w:rPr>
        <w:t>2）年度内设备故障停止运行时间</w:t>
      </w:r>
      <w:r>
        <w:rPr>
          <w:rFonts w:hint="eastAsia" w:ascii="宋体" w:hAnsi="宋体" w:eastAsia="宋体" w:cs="宋体"/>
          <w:color w:val="FF0000"/>
          <w:sz w:val="24"/>
          <w:szCs w:val="24"/>
          <w:highlight w:val="none"/>
          <w:lang w:val="en-US" w:eastAsia="zh-CN"/>
        </w:rPr>
        <w:t>累计不得多于12小时，每超过1小时的，服务期相应顺延1天。</w:t>
      </w:r>
    </w:p>
    <w:bookmarkEnd w:id="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长城仿宋">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14554A"/>
    <w:multiLevelType w:val="singleLevel"/>
    <w:tmpl w:val="0814554A"/>
    <w:lvl w:ilvl="0" w:tentative="0">
      <w:start w:val="1"/>
      <w:numFmt w:val="chineseCounting"/>
      <w:suff w:val="nothing"/>
      <w:lvlText w:val="%1、"/>
      <w:lvlJc w:val="left"/>
      <w:pPr>
        <w:ind w:left="210"/>
      </w:pPr>
      <w:rPr>
        <w:rFonts w:hint="eastAsia"/>
      </w:rPr>
    </w:lvl>
  </w:abstractNum>
  <w:abstractNum w:abstractNumId="1">
    <w:nsid w:val="57FA7528"/>
    <w:multiLevelType w:val="multilevel"/>
    <w:tmpl w:val="57FA7528"/>
    <w:lvl w:ilvl="0" w:tentative="0">
      <w:start w:val="1"/>
      <w:numFmt w:val="decimal"/>
      <w:lvlText w:val="%1."/>
      <w:lvlJc w:val="left"/>
      <w:pPr>
        <w:ind w:left="432" w:hanging="432"/>
      </w:pPr>
      <w:rPr>
        <w:rFonts w:hint="default"/>
      </w:rPr>
    </w:lvl>
    <w:lvl w:ilvl="1" w:tentative="0">
      <w:start w:val="1"/>
      <w:numFmt w:val="decimal"/>
      <w:pStyle w:val="3"/>
      <w:lvlText w:val="%1.%2."/>
      <w:lvlJc w:val="left"/>
      <w:pPr>
        <w:ind w:left="575" w:hanging="575"/>
      </w:pPr>
      <w:rPr>
        <w:rFonts w:hint="default"/>
      </w:rPr>
    </w:lvl>
    <w:lvl w:ilvl="2" w:tentative="0">
      <w:start w:val="1"/>
      <w:numFmt w:val="decimal"/>
      <w:pStyle w:val="4"/>
      <w:lvlText w:val="%1.%2.%3."/>
      <w:lvlJc w:val="left"/>
      <w:pPr>
        <w:ind w:left="720" w:hanging="720"/>
      </w:pPr>
      <w:rPr>
        <w:rFonts w:hint="default"/>
      </w:rPr>
    </w:lvl>
    <w:lvl w:ilvl="3" w:tentative="0">
      <w:start w:val="1"/>
      <w:numFmt w:val="decimal"/>
      <w:pStyle w:val="5"/>
      <w:lvlText w:val="%1.%2.%3.%4."/>
      <w:lvlJc w:val="left"/>
      <w:pPr>
        <w:ind w:left="864" w:hanging="864"/>
      </w:pPr>
      <w:rPr>
        <w:rFonts w:hint="default"/>
      </w:rPr>
    </w:lvl>
    <w:lvl w:ilvl="4" w:tentative="0">
      <w:start w:val="1"/>
      <w:numFmt w:val="decimal"/>
      <w:pStyle w:val="6"/>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355F09"/>
    <w:rsid w:val="293F0394"/>
    <w:rsid w:val="3A6E09A6"/>
    <w:rsid w:val="61FC15B0"/>
    <w:rsid w:val="62355F09"/>
    <w:rsid w:val="785274E9"/>
    <w:rsid w:val="7BD02B2E"/>
    <w:rsid w:val="7EDC64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iPriority="99"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qFormat/>
    <w:uiPriority w:val="9"/>
    <w:pPr>
      <w:keepNext/>
      <w:keepLines/>
      <w:numPr>
        <w:ilvl w:val="1"/>
        <w:numId w:val="1"/>
      </w:numPr>
      <w:spacing w:line="360" w:lineRule="auto"/>
      <w:outlineLvl w:val="1"/>
    </w:pPr>
    <w:rPr>
      <w:rFonts w:ascii="黑体" w:hAnsi="黑体" w:eastAsia="黑体" w:cs="Times New Roman"/>
      <w:b/>
      <w:bCs/>
      <w:sz w:val="32"/>
      <w:szCs w:val="32"/>
    </w:rPr>
  </w:style>
  <w:style w:type="paragraph" w:styleId="4">
    <w:name w:val="heading 3"/>
    <w:basedOn w:val="1"/>
    <w:next w:val="1"/>
    <w:qFormat/>
    <w:uiPriority w:val="9"/>
    <w:pPr>
      <w:keepNext/>
      <w:keepLines/>
      <w:numPr>
        <w:ilvl w:val="2"/>
        <w:numId w:val="1"/>
      </w:numPr>
      <w:spacing w:line="360" w:lineRule="auto"/>
      <w:outlineLvl w:val="2"/>
    </w:pPr>
    <w:rPr>
      <w:rFonts w:ascii="Times New Roman" w:hAnsi="Times New Roman" w:eastAsia="黑体"/>
      <w:b/>
      <w:bCs/>
      <w:sz w:val="32"/>
      <w:szCs w:val="28"/>
    </w:rPr>
  </w:style>
  <w:style w:type="paragraph" w:styleId="5">
    <w:name w:val="heading 4"/>
    <w:basedOn w:val="1"/>
    <w:next w:val="1"/>
    <w:qFormat/>
    <w:uiPriority w:val="9"/>
    <w:pPr>
      <w:keepNext/>
      <w:keepLines/>
      <w:numPr>
        <w:ilvl w:val="3"/>
        <w:numId w:val="1"/>
      </w:numPr>
      <w:spacing w:line="360" w:lineRule="auto"/>
      <w:outlineLvl w:val="3"/>
    </w:pPr>
    <w:rPr>
      <w:rFonts w:ascii="Times New Roman" w:hAnsi="Times New Roman" w:eastAsia="宋体" w:cs="Times New Roman"/>
      <w:b/>
      <w:bCs/>
      <w:sz w:val="28"/>
      <w:szCs w:val="28"/>
    </w:rPr>
  </w:style>
  <w:style w:type="paragraph" w:styleId="6">
    <w:name w:val="heading 5"/>
    <w:basedOn w:val="1"/>
    <w:next w:val="1"/>
    <w:qFormat/>
    <w:uiPriority w:val="9"/>
    <w:pPr>
      <w:keepNext/>
      <w:keepLines/>
      <w:numPr>
        <w:ilvl w:val="4"/>
        <w:numId w:val="1"/>
      </w:numPr>
      <w:spacing w:line="360" w:lineRule="auto"/>
      <w:outlineLvl w:val="4"/>
    </w:pPr>
    <w:rPr>
      <w:rFonts w:ascii="Times New Roman" w:hAnsi="Times New Roman" w:eastAsia="宋体" w:cs="Times New Roman"/>
      <w:b/>
      <w:bCs/>
      <w:sz w:val="28"/>
      <w:szCs w:val="28"/>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customStyle="1" w:styleId="2">
    <w:name w:val="文档正文"/>
    <w:basedOn w:val="1"/>
    <w:qFormat/>
    <w:uiPriority w:val="0"/>
    <w:pPr>
      <w:adjustRightInd w:val="0"/>
      <w:spacing w:line="480" w:lineRule="atLeast"/>
      <w:ind w:firstLine="567" w:firstLineChars="200"/>
      <w:textAlignment w:val="baseline"/>
    </w:pPr>
    <w:rPr>
      <w:rFonts w:ascii="长城仿宋"/>
      <w:kern w:val="0"/>
      <w:szCs w:val="20"/>
    </w:rPr>
  </w:style>
  <w:style w:type="paragraph" w:styleId="7">
    <w:name w:val="Normal Indent"/>
    <w:basedOn w:val="1"/>
    <w:unhideWhenUsed/>
    <w:qFormat/>
    <w:uiPriority w:val="0"/>
    <w:pPr>
      <w:ind w:firstLine="420" w:firstLineChars="200"/>
    </w:pPr>
    <w:rPr>
      <w:rFonts w:ascii="Calibri" w:hAnsi="Calibri" w:cs="Times New Roman"/>
      <w:szCs w:val="24"/>
    </w:rPr>
  </w:style>
  <w:style w:type="paragraph" w:styleId="8">
    <w:name w:val="annotation text"/>
    <w:basedOn w:val="1"/>
    <w:unhideWhenUsed/>
    <w:qFormat/>
    <w:uiPriority w:val="99"/>
    <w:pPr>
      <w:jc w:val="left"/>
    </w:pPr>
  </w:style>
  <w:style w:type="paragraph" w:styleId="9">
    <w:name w:val="Body Text"/>
    <w:basedOn w:val="1"/>
    <w:unhideWhenUsed/>
    <w:qFormat/>
    <w:uiPriority w:val="1"/>
    <w:pPr>
      <w:widowControl/>
      <w:ind w:firstLine="480" w:firstLineChars="200"/>
      <w:contextualSpacing/>
      <w:jc w:val="left"/>
    </w:pPr>
    <w:rPr>
      <w:rFonts w:ascii="Calibri" w:hAnsi="Calibri" w:cs="Times New Roman"/>
      <w:sz w:val="28"/>
      <w:szCs w:val="28"/>
    </w:rPr>
  </w:style>
  <w:style w:type="paragraph" w:styleId="10">
    <w:name w:val="Plain Text"/>
    <w:basedOn w:val="1"/>
    <w:qFormat/>
    <w:uiPriority w:val="0"/>
    <w:rPr>
      <w:rFonts w:ascii="宋体" w:hAnsi="Courier New"/>
    </w:rPr>
  </w:style>
  <w:style w:type="paragraph" w:styleId="11">
    <w:name w:val="Body Text 2"/>
    <w:basedOn w:val="1"/>
    <w:next w:val="10"/>
    <w:qFormat/>
    <w:uiPriority w:val="0"/>
    <w:pPr>
      <w:spacing w:line="360" w:lineRule="auto"/>
    </w:pPr>
    <w:rPr>
      <w:sz w:val="24"/>
    </w:rPr>
  </w:style>
  <w:style w:type="table" w:styleId="13">
    <w:name w:val="Table Grid"/>
    <w:basedOn w:val="1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5">
    <w:name w:val="_Style 3"/>
    <w:basedOn w:val="1"/>
    <w:qFormat/>
    <w:uiPriority w:val="0"/>
    <w:pPr>
      <w:suppressAutoHyphens/>
      <w:ind w:firstLine="420"/>
    </w:pPr>
    <w:rPr>
      <w:kern w:val="1"/>
      <w:lang w:eastAsia="ar-SA"/>
    </w:rPr>
  </w:style>
  <w:style w:type="paragraph" w:customStyle="1" w:styleId="16">
    <w:name w:val="null3"/>
    <w:hidden/>
    <w:qFormat/>
    <w:uiPriority w:val="0"/>
    <w:rPr>
      <w:rFonts w:hint="eastAsia" w:asciiTheme="minorHAnsi" w:hAnsiTheme="minorHAnsi" w:eastAsiaTheme="minorEastAsia" w:cstheme="minorBidi"/>
      <w:lang w:val="en-US" w:eastAsia="zh-Hans"/>
    </w:rPr>
  </w:style>
  <w:style w:type="paragraph" w:customStyle="1" w:styleId="17">
    <w:name w:val="方案正文"/>
    <w:basedOn w:val="1"/>
    <w:qFormat/>
    <w:uiPriority w:val="0"/>
    <w:pPr>
      <w:widowControl/>
      <w:adjustRightInd w:val="0"/>
      <w:snapToGrid w:val="0"/>
      <w:ind w:firstLine="480" w:firstLineChars="200"/>
      <w:contextualSpacing/>
    </w:pPr>
    <w:rPr>
      <w:rFonts w:ascii="宋体" w:hAnsi="宋体" w:cs="宋体"/>
      <w:color w:val="000000"/>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1685</Words>
  <Characters>1716</Characters>
  <Lines>0</Lines>
  <Paragraphs>0</Paragraphs>
  <TotalTime>7</TotalTime>
  <ScaleCrop>false</ScaleCrop>
  <LinksUpToDate>false</LinksUpToDate>
  <CharactersWithSpaces>1722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2025-08-27T02:59:00Z</dcterms:created>
  <dc:creator>刚刚好</dc:creator>
  <cp:lastModifiedBy>刚刚好</cp:lastModifiedBy>
  <dcterms:modified xsi:type="dcterms:W3CDTF">2026-07-14T06:00:00Z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E593A4D835784B0FB72AADBF263A1DC4_11</vt:lpwstr>
  </property>
  <property fmtid="{D5CDD505-2E9C-101B-9397-08002B2CF9AE}" pid="4" name="KSOTemplateDocerSaveRecord">
    <vt:lpwstr>eyJoZGlkIjoiOTRmZTQ5MmU0YzE5N2YwOWI0YjI4MjZjZGYyMzQ4OWIiLCJ1c2VySWQiOiIxMTIzMTkwMTkwIn0=</vt:lpwstr>
  </property>
</Properties>
</file>